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03" w:rsidRDefault="00096303" w:rsidP="00096303">
      <w:r>
        <w:t>УДК: 629.5.05:004.4</w:t>
      </w:r>
    </w:p>
    <w:p w:rsidR="00096303" w:rsidRDefault="00096303" w:rsidP="00096303">
      <w:pPr>
        <w:spacing w:line="240" w:lineRule="auto"/>
        <w:jc w:val="left"/>
        <w:rPr>
          <w:b/>
          <w:bCs/>
          <w:i/>
          <w:iCs/>
        </w:rPr>
      </w:pPr>
    </w:p>
    <w:p w:rsidR="00470D19" w:rsidRPr="00096303" w:rsidRDefault="00455592" w:rsidP="00096303">
      <w:pPr>
        <w:spacing w:line="240" w:lineRule="auto"/>
        <w:jc w:val="left"/>
        <w:rPr>
          <w:i/>
          <w:iCs/>
        </w:rPr>
      </w:pPr>
      <w:r w:rsidRPr="00096303">
        <w:rPr>
          <w:b/>
          <w:bCs/>
          <w:i/>
          <w:iCs/>
        </w:rPr>
        <w:t>С. Н. Юдин</w:t>
      </w:r>
      <w:r w:rsidRPr="00096303">
        <w:rPr>
          <w:i/>
          <w:iCs/>
        </w:rPr>
        <w:t xml:space="preserve">, специалист, </w:t>
      </w:r>
    </w:p>
    <w:p w:rsidR="00455592" w:rsidRPr="00096303" w:rsidRDefault="00455592" w:rsidP="00096303">
      <w:pPr>
        <w:spacing w:line="240" w:lineRule="auto"/>
        <w:jc w:val="left"/>
        <w:rPr>
          <w:i/>
          <w:iCs/>
        </w:rPr>
      </w:pPr>
      <w:r w:rsidRPr="00096303">
        <w:rPr>
          <w:i/>
          <w:iCs/>
        </w:rPr>
        <w:t>нач. отдела систем автоматики АО «МНС»</w:t>
      </w:r>
    </w:p>
    <w:p w:rsidR="00470D19" w:rsidRPr="00096303" w:rsidRDefault="00096303" w:rsidP="00096303">
      <w:pPr>
        <w:spacing w:line="240" w:lineRule="auto"/>
        <w:jc w:val="left"/>
        <w:rPr>
          <w:bCs/>
          <w:i/>
          <w:iCs/>
        </w:rPr>
      </w:pPr>
      <w:r w:rsidRPr="00096303">
        <w:rPr>
          <w:bCs/>
          <w:i/>
          <w:iCs/>
          <w14:ligatures w14:val="standardContextual"/>
        </w:rPr>
        <w:t>контакт</w:t>
      </w:r>
      <w:proofErr w:type="gramStart"/>
      <w:r w:rsidRPr="00096303">
        <w:rPr>
          <w:bCs/>
          <w:i/>
          <w:iCs/>
          <w14:ligatures w14:val="standardContextual"/>
        </w:rPr>
        <w:t>.</w:t>
      </w:r>
      <w:proofErr w:type="gramEnd"/>
      <w:r w:rsidR="00470D19" w:rsidRPr="00096303">
        <w:rPr>
          <w:bCs/>
          <w:i/>
          <w:iCs/>
          <w14:ligatures w14:val="standardContextual"/>
        </w:rPr>
        <w:t xml:space="preserve"> </w:t>
      </w:r>
      <w:proofErr w:type="gramStart"/>
      <w:r w:rsidR="00470D19" w:rsidRPr="00096303">
        <w:rPr>
          <w:bCs/>
          <w:i/>
          <w:iCs/>
        </w:rPr>
        <w:t>т</w:t>
      </w:r>
      <w:proofErr w:type="gramEnd"/>
      <w:r w:rsidR="00470D19" w:rsidRPr="00096303">
        <w:rPr>
          <w:bCs/>
          <w:i/>
          <w:iCs/>
        </w:rPr>
        <w:t xml:space="preserve">ел. </w:t>
      </w:r>
      <w:r w:rsidRPr="00096303">
        <w:rPr>
          <w:bCs/>
          <w:i/>
          <w:iCs/>
        </w:rPr>
        <w:t>(</w:t>
      </w:r>
      <w:r w:rsidR="00470D19" w:rsidRPr="00096303">
        <w:rPr>
          <w:bCs/>
          <w:i/>
          <w:iCs/>
        </w:rPr>
        <w:t>812)</w:t>
      </w:r>
      <w:r w:rsidRPr="00096303">
        <w:rPr>
          <w:bCs/>
          <w:i/>
          <w:iCs/>
        </w:rPr>
        <w:t xml:space="preserve"> </w:t>
      </w:r>
      <w:r w:rsidR="00470D19" w:rsidRPr="00096303">
        <w:rPr>
          <w:bCs/>
          <w:i/>
          <w:iCs/>
        </w:rPr>
        <w:t>320</w:t>
      </w:r>
      <w:r w:rsidRPr="00096303">
        <w:rPr>
          <w:bCs/>
          <w:i/>
          <w:iCs/>
        </w:rPr>
        <w:t xml:space="preserve"> </w:t>
      </w:r>
      <w:r w:rsidR="00470D19" w:rsidRPr="00096303">
        <w:rPr>
          <w:bCs/>
          <w:i/>
          <w:iCs/>
        </w:rPr>
        <w:t>3840</w:t>
      </w:r>
    </w:p>
    <w:p w:rsidR="00470D19" w:rsidRDefault="00470D19" w:rsidP="00455592">
      <w:pPr>
        <w:rPr>
          <w:i/>
          <w:iCs/>
        </w:rPr>
      </w:pPr>
    </w:p>
    <w:p w:rsidR="00096303" w:rsidRDefault="00096303" w:rsidP="00096303">
      <w:pPr>
        <w:spacing w:line="240" w:lineRule="auto"/>
      </w:pPr>
      <w:r w:rsidRPr="00096303">
        <w:rPr>
          <w:b/>
        </w:rPr>
        <w:t>Ключевые слова:</w:t>
      </w:r>
      <w:r>
        <w:t xml:space="preserve"> комплексная система управления техническими средствами (КСУ ТС), цифровой корабль, автономное судовождение (MASS), прогнозная аналитика, отказоустойчивая архитектура, живучесть</w:t>
      </w:r>
    </w:p>
    <w:p w:rsidR="00096303" w:rsidRDefault="00096303" w:rsidP="00096303">
      <w:pPr>
        <w:spacing w:line="240" w:lineRule="auto"/>
      </w:pPr>
      <w:r w:rsidRPr="00096303">
        <w:rPr>
          <w:b/>
        </w:rPr>
        <w:t>Реферат</w:t>
      </w:r>
      <w:r w:rsidRPr="00096303">
        <w:rPr>
          <w:b/>
        </w:rPr>
        <w:t>:</w:t>
      </w:r>
      <w:r>
        <w:t xml:space="preserve"> В статье рассмотрена эволюция и ключевые векторы развития комплексных систем управления техническими средствами (КСУ ТС) судна. Проанализирована роль КСУ ТС как центрального элемента цифрового судна и технологического фундамента для автономного судовождения. Сформулированы перспективные научно-технические задачи для отрасли. </w:t>
      </w:r>
    </w:p>
    <w:p w:rsidR="00096303" w:rsidRDefault="00096303" w:rsidP="00455592">
      <w:pPr>
        <w:rPr>
          <w:iCs/>
        </w:rPr>
      </w:pPr>
      <w:r w:rsidRPr="00096303">
        <w:rPr>
          <w:b/>
          <w:iCs/>
        </w:rPr>
        <w:t>Рубрика:</w:t>
      </w:r>
      <w:r w:rsidRPr="00096303">
        <w:rPr>
          <w:iCs/>
        </w:rPr>
        <w:t xml:space="preserve"> Информационно-измерительные и управляющие системы</w:t>
      </w:r>
    </w:p>
    <w:p w:rsidR="00096303" w:rsidRDefault="00096303" w:rsidP="00455592">
      <w:pPr>
        <w:rPr>
          <w:iCs/>
        </w:rPr>
      </w:pPr>
    </w:p>
    <w:p w:rsidR="00096303" w:rsidRDefault="00096303" w:rsidP="00096303">
      <w:pPr>
        <w:spacing w:line="240" w:lineRule="auto"/>
        <w:jc w:val="center"/>
        <w:rPr>
          <w:b/>
        </w:rPr>
      </w:pPr>
      <w:r w:rsidRPr="00470D19">
        <w:rPr>
          <w:b/>
        </w:rPr>
        <w:t>Эволюция комплексных систем управления техническими средствами как основа цифровой трансформации в судостроении</w:t>
      </w:r>
    </w:p>
    <w:p w:rsidR="00096303" w:rsidRPr="00DB71DF" w:rsidRDefault="00096303" w:rsidP="00455592">
      <w:pPr>
        <w:rPr>
          <w:i/>
          <w:iCs/>
        </w:rPr>
      </w:pPr>
    </w:p>
    <w:p w:rsidR="00455592" w:rsidRDefault="00455592" w:rsidP="00096303">
      <w:pPr>
        <w:spacing w:line="240" w:lineRule="auto"/>
      </w:pPr>
      <w:r>
        <w:t xml:space="preserve">Исторический путь развития систем автоматизации на флоте демонстрирует качественный переход от локального управления отдельными агрегатами к созданию централизованного «интеллектуального ядра» современного судна. Комплексные системы управления техническими средствами (КСУ ТС) эволюционировали от простых средств автоматизации до сложных </w:t>
      </w:r>
      <w:proofErr w:type="spellStart"/>
      <w:r>
        <w:t>киберфизических</w:t>
      </w:r>
      <w:proofErr w:type="spellEnd"/>
      <w:r>
        <w:t xml:space="preserve"> комплексов, определяющих облик цифрового корабля. Сегодня КСУ ТС представляет собой ключевой элемент, обеспечивающий интеграцию всех судовых подсистем, управление энергетикой и движением, а также формирующий основу для реализации технологий автономного судовождения.</w:t>
      </w:r>
    </w:p>
    <w:p w:rsidR="00455592" w:rsidRDefault="00455592" w:rsidP="00096303">
      <w:pPr>
        <w:spacing w:line="240" w:lineRule="auto"/>
      </w:pPr>
      <w:r>
        <w:t xml:space="preserve">Актуальность развития КСУ ТС напрямую связана с глобальным трендом </w:t>
      </w:r>
      <w:proofErr w:type="spellStart"/>
      <w:r>
        <w:t>цифровизации</w:t>
      </w:r>
      <w:proofErr w:type="spellEnd"/>
      <w:r>
        <w:t xml:space="preserve"> морской отрасли, требующей принципиального повышения эффективности, безопасности и экономичности эксплуатации флота. При этом создание и адаптация таких систем для каждого нового проекта судна остается сложной инженерной задачей, требующей глубокой </w:t>
      </w:r>
      <w:proofErr w:type="spellStart"/>
      <w:r>
        <w:t>кастомизации</w:t>
      </w:r>
      <w:proofErr w:type="spellEnd"/>
      <w:r>
        <w:t>.</w:t>
      </w:r>
    </w:p>
    <w:p w:rsidR="00455592" w:rsidRPr="009A33C5" w:rsidRDefault="009A33C5" w:rsidP="00096303">
      <w:pPr>
        <w:spacing w:line="240" w:lineRule="auto"/>
        <w:rPr>
          <w:b/>
        </w:rPr>
      </w:pPr>
      <w:r w:rsidRPr="009A33C5">
        <w:rPr>
          <w:b/>
          <w:lang w:val="en-US"/>
        </w:rPr>
        <w:t>I</w:t>
      </w:r>
      <w:r w:rsidRPr="009A33C5">
        <w:rPr>
          <w:b/>
        </w:rPr>
        <w:t xml:space="preserve">. </w:t>
      </w:r>
      <w:r w:rsidR="00455592" w:rsidRPr="009A33C5">
        <w:rPr>
          <w:b/>
        </w:rPr>
        <w:t>Основные направления развития современных КСУ ТС</w:t>
      </w:r>
    </w:p>
    <w:p w:rsidR="00455592" w:rsidRDefault="00455592" w:rsidP="00096303">
      <w:pPr>
        <w:spacing w:line="240" w:lineRule="auto"/>
      </w:pPr>
      <w:r>
        <w:t>Современные тенденции развития комплексных систем управления определяются несколькими взаимосвязанными стратегическими векторами.</w:t>
      </w:r>
    </w:p>
    <w:p w:rsidR="00455592" w:rsidRDefault="00455592" w:rsidP="00096303">
      <w:pPr>
        <w:spacing w:line="240" w:lineRule="auto"/>
      </w:pPr>
      <w:r>
        <w:t>1.</w:t>
      </w:r>
      <w:r>
        <w:tab/>
        <w:t xml:space="preserve">Глубокая системная интеграция. Современная платформа КСУ ТС обеспечивает формирование единой информационно-управляющей среды судна. Это подразумевает не только вертикальную интеграцию (от датчиков до центрального пульта), но и горизонтальное взаимодействие с другими </w:t>
      </w:r>
      <w:r>
        <w:lastRenderedPageBreak/>
        <w:t>ключевыми корабельными комплексами: интегрированными навигационными системами, системами управления вооружением, контроля остойчивости и грузовыми операциями. Подобная интеграция позволяет реализовывать сложные автоматизированные сценарии, например, адаптивное управление энергоустановкой на основе данных о маршруте и внешних условиях.</w:t>
      </w:r>
    </w:p>
    <w:p w:rsidR="00455592" w:rsidRDefault="00455592" w:rsidP="00096303">
      <w:pPr>
        <w:spacing w:line="240" w:lineRule="auto"/>
      </w:pPr>
      <w:r>
        <w:t>2.</w:t>
      </w:r>
      <w:r>
        <w:tab/>
        <w:t>Прогнозная аналитика и техническая диагностика. Ведущим преимуществом систем нового поколения является встроенный интеллектуальный модуль анализа данных. Непрерывный сбор и обработка огромного массива эксплуатационных параметров позволяет не только регистрировать отказы, но и прогнозировать изменения технического состояния оборудования. Это создает основу для перехода от регламентного обслуживания к обслуживанию по фактическому состоянию. Аналитические алгоритмы, оценивая динамику параметров, способны формировать оптимальные рекомендации по срокам и объему технического обслуживания, что ведет к снижению затрат и повышению общей надежности.</w:t>
      </w:r>
    </w:p>
    <w:p w:rsidR="00455592" w:rsidRDefault="00455592" w:rsidP="00096303">
      <w:pPr>
        <w:spacing w:line="240" w:lineRule="auto"/>
      </w:pPr>
      <w:r>
        <w:t>3.</w:t>
      </w:r>
      <w:r>
        <w:tab/>
        <w:t xml:space="preserve">Архитектура повышенной живучести и отказоустойчивости. Для судовых систем критически важна способность </w:t>
      </w:r>
      <w:proofErr w:type="gramStart"/>
      <w:r>
        <w:t>сохранять</w:t>
      </w:r>
      <w:proofErr w:type="gramEnd"/>
      <w:r>
        <w:t xml:space="preserve"> работоспособность при частичных повреждениях. Концепция построения КСУ ТС базируется на принципах распределенной и избыточной архитектуры. </w:t>
      </w:r>
      <w:r w:rsidR="009A33C5">
        <w:t>Её</w:t>
      </w:r>
      <w:r>
        <w:t xml:space="preserve"> </w:t>
      </w:r>
      <w:r w:rsidR="009A33C5">
        <w:t>основными</w:t>
      </w:r>
      <w:r>
        <w:t xml:space="preserve"> особенностями являются:</w:t>
      </w:r>
    </w:p>
    <w:p w:rsidR="00455592" w:rsidRDefault="00455592" w:rsidP="00096303">
      <w:pPr>
        <w:pStyle w:val="a3"/>
        <w:numPr>
          <w:ilvl w:val="0"/>
          <w:numId w:val="6"/>
        </w:numPr>
        <w:spacing w:line="240" w:lineRule="auto"/>
        <w:ind w:left="0" w:firstLine="0"/>
      </w:pPr>
      <w:r>
        <w:t>Децентрализованная обработка: Функции системы распределены между вычислительными модулями, что исключает наличие единой точки отказа.</w:t>
      </w:r>
    </w:p>
    <w:p w:rsidR="00455592" w:rsidRDefault="00455592" w:rsidP="00096303">
      <w:pPr>
        <w:pStyle w:val="a3"/>
        <w:numPr>
          <w:ilvl w:val="0"/>
          <w:numId w:val="6"/>
        </w:numPr>
        <w:spacing w:line="240" w:lineRule="auto"/>
        <w:ind w:left="0" w:firstLine="0"/>
      </w:pPr>
      <w:r>
        <w:t>Автоматическое перераспределение задач: При выходе из строя одного модуля его функционал автоматически передается другим исправным элементам, обеспечивая непрерывность управления.</w:t>
      </w:r>
    </w:p>
    <w:p w:rsidR="00455592" w:rsidRDefault="00455592" w:rsidP="00096303">
      <w:pPr>
        <w:pStyle w:val="a3"/>
        <w:numPr>
          <w:ilvl w:val="0"/>
          <w:numId w:val="6"/>
        </w:numPr>
        <w:spacing w:line="240" w:lineRule="auto"/>
        <w:ind w:left="0" w:firstLine="0"/>
      </w:pPr>
      <w:r>
        <w:t>Адаптивная реконфигурация сети: Система автоматически восстанавливает связи и маршруты передачи данных при повреждении сегментов сети.</w:t>
      </w:r>
    </w:p>
    <w:p w:rsidR="00455592" w:rsidRDefault="00455592" w:rsidP="00096303">
      <w:pPr>
        <w:pStyle w:val="a3"/>
        <w:numPr>
          <w:ilvl w:val="0"/>
          <w:numId w:val="6"/>
        </w:numPr>
        <w:spacing w:line="240" w:lineRule="auto"/>
        <w:ind w:left="0" w:firstLine="0"/>
      </w:pPr>
      <w:r>
        <w:t>Повышенная устойчивость к воздействиям: Исполнение аппаратных компонентов по высоким классам защиты позволяет их размещение в непосредственной близости от агрегатов.</w:t>
      </w:r>
    </w:p>
    <w:p w:rsidR="00455592" w:rsidRDefault="00455592" w:rsidP="00096303">
      <w:pPr>
        <w:spacing w:line="240" w:lineRule="auto"/>
      </w:pPr>
      <w:r>
        <w:t>4.</w:t>
      </w:r>
      <w:r>
        <w:tab/>
        <w:t>Открытая модульная платформа и технологическая независимость. Универсальность КСУ ТС достигается за счет открытой модульной архитектуры, поддерживающей широкий спектр промышленных протоколов обмена данными и обеспечивающей совместимость с оборудованием различных производителей. В современных условиях особое значение приобретает возможность развертывания системы на базе отечественных аппаратных и программных компонентов, что является ключевым фактором обеспечения технологического суверенитета отрасли.</w:t>
      </w:r>
    </w:p>
    <w:p w:rsidR="00455592" w:rsidRPr="009A33C5" w:rsidRDefault="009A33C5" w:rsidP="00096303">
      <w:pPr>
        <w:spacing w:line="240" w:lineRule="auto"/>
        <w:rPr>
          <w:b/>
        </w:rPr>
      </w:pPr>
      <w:r w:rsidRPr="009A33C5">
        <w:rPr>
          <w:b/>
          <w:lang w:val="en-US"/>
        </w:rPr>
        <w:t>II</w:t>
      </w:r>
      <w:r w:rsidRPr="009A33C5">
        <w:rPr>
          <w:b/>
        </w:rPr>
        <w:t xml:space="preserve">. </w:t>
      </w:r>
      <w:r w:rsidR="00455592" w:rsidRPr="009A33C5">
        <w:rPr>
          <w:b/>
        </w:rPr>
        <w:t>КСУ ТС как технологический фундамент автономного судна</w:t>
      </w:r>
    </w:p>
    <w:p w:rsidR="00455592" w:rsidRDefault="00455592" w:rsidP="00096303">
      <w:pPr>
        <w:spacing w:line="240" w:lineRule="auto"/>
      </w:pPr>
      <w:r>
        <w:t xml:space="preserve">Наиболее перспективным направлением, где КСУ ТС выполняет системообразующую функцию, является создание морских автономных надводных судов (МАНС). Принятие в 2023 году соответствующего </w:t>
      </w:r>
      <w:r>
        <w:lastRenderedPageBreak/>
        <w:t xml:space="preserve">федерального закона </w:t>
      </w:r>
      <w:r w:rsidR="00F12293">
        <w:t>(ФЗ</w:t>
      </w:r>
      <w:r w:rsidR="00F12293" w:rsidRPr="00F12293">
        <w:t xml:space="preserve"> от 10 июля 2023 г. № 294-ФЗ</w:t>
      </w:r>
      <w:r w:rsidR="00F12293">
        <w:t xml:space="preserve">) </w:t>
      </w:r>
      <w:r>
        <w:t>создало правовую основу для развития этого направления в России.</w:t>
      </w:r>
    </w:p>
    <w:p w:rsidR="00455592" w:rsidRDefault="00455592" w:rsidP="00096303">
      <w:pPr>
        <w:spacing w:line="240" w:lineRule="auto"/>
      </w:pPr>
      <w:r>
        <w:t xml:space="preserve">Автономная навигационная система, отвечающая за анализ обстановки и маршрутное планирование, функционирует на верхнем уровне иерархии. </w:t>
      </w:r>
      <w:r w:rsidR="009A33C5">
        <w:t>Её</w:t>
      </w:r>
      <w:r>
        <w:t xml:space="preserve"> работа невозможна без нижележащего интеллектуального слоя – КСУ ТС, который обеспечивает точное исполнение навигационных команд: автономное управление движительно-рулевым комплексом, энергосистемой и другими техническими средствами по сигналам от автономного навигатора или берегового центра управления.</w:t>
      </w:r>
    </w:p>
    <w:p w:rsidR="00455592" w:rsidRDefault="00455592" w:rsidP="00096303">
      <w:pPr>
        <w:spacing w:line="240" w:lineRule="auto"/>
      </w:pPr>
      <w:r>
        <w:t>Переход к автономности выдвигает новые комплексные требования:</w:t>
      </w:r>
    </w:p>
    <w:p w:rsidR="00455592" w:rsidRDefault="00455592" w:rsidP="00096303">
      <w:pPr>
        <w:spacing w:line="240" w:lineRule="auto"/>
      </w:pPr>
      <w:r>
        <w:t>•</w:t>
      </w:r>
      <w:r>
        <w:tab/>
        <w:t>Абсолютная надежность каналов связи для дистанционно управляемых судов.</w:t>
      </w:r>
    </w:p>
    <w:p w:rsidR="00455592" w:rsidRDefault="00455592" w:rsidP="00096303">
      <w:pPr>
        <w:spacing w:line="240" w:lineRule="auto"/>
      </w:pPr>
      <w:r>
        <w:t>•</w:t>
      </w:r>
      <w:r>
        <w:tab/>
        <w:t xml:space="preserve">Комплексная </w:t>
      </w:r>
      <w:proofErr w:type="spellStart"/>
      <w:r>
        <w:t>кибербезопасность</w:t>
      </w:r>
      <w:proofErr w:type="spellEnd"/>
      <w:r>
        <w:t>, учитывающая новые угрозы для навигационного и коммуникационного оборудования.</w:t>
      </w:r>
    </w:p>
    <w:p w:rsidR="00455592" w:rsidRDefault="00455592" w:rsidP="00096303">
      <w:pPr>
        <w:spacing w:line="240" w:lineRule="auto"/>
      </w:pPr>
      <w:r>
        <w:t>•</w:t>
      </w:r>
      <w:r>
        <w:tab/>
        <w:t>Развитые алгоритмы принятия решений на основе искусственного интеллекта для анализа сложных ситуаций.</w:t>
      </w:r>
    </w:p>
    <w:p w:rsidR="00455592" w:rsidRDefault="00455592" w:rsidP="00096303">
      <w:pPr>
        <w:spacing w:line="240" w:lineRule="auto"/>
      </w:pPr>
      <w:r>
        <w:t>•</w:t>
      </w:r>
      <w:r>
        <w:tab/>
        <w:t>Новая модель ответственности, переносящая функции управления безопасностью с экипажа на судовладельца и береговые службы.</w:t>
      </w:r>
    </w:p>
    <w:p w:rsidR="00455592" w:rsidRPr="009A33C5" w:rsidRDefault="009A33C5" w:rsidP="00096303">
      <w:pPr>
        <w:spacing w:line="240" w:lineRule="auto"/>
        <w:rPr>
          <w:b/>
        </w:rPr>
      </w:pPr>
      <w:r>
        <w:rPr>
          <w:b/>
          <w:lang w:val="en-US"/>
        </w:rPr>
        <w:t>III</w:t>
      </w:r>
      <w:r w:rsidRPr="00470D19">
        <w:rPr>
          <w:b/>
        </w:rPr>
        <w:t xml:space="preserve">. </w:t>
      </w:r>
      <w:r w:rsidR="00455592" w:rsidRPr="009A33C5">
        <w:rPr>
          <w:b/>
        </w:rPr>
        <w:t>Заключение и перспективные задачи</w:t>
      </w:r>
    </w:p>
    <w:p w:rsidR="00455592" w:rsidRDefault="00455592" w:rsidP="00096303">
      <w:pPr>
        <w:spacing w:line="240" w:lineRule="auto"/>
      </w:pPr>
      <w:r>
        <w:t>Комплексные системы управления техническими средствами завершили трансформацию в ключевую интеллектуальную платформу цифрового судна. Их дальнейшее развитие требует концентрации усилий на решении ряда научно-технических задач:</w:t>
      </w:r>
    </w:p>
    <w:p w:rsidR="00455592" w:rsidRDefault="00455592" w:rsidP="00096303">
      <w:pPr>
        <w:spacing w:line="240" w:lineRule="auto"/>
      </w:pPr>
      <w:r>
        <w:t>1.</w:t>
      </w:r>
      <w:r>
        <w:tab/>
        <w:t>Разработка единых стандартизированных протоколов для интеграции КСУ ТС с системами автономного судовождения и береговыми центрами.</w:t>
      </w:r>
    </w:p>
    <w:p w:rsidR="00455592" w:rsidRDefault="00455592" w:rsidP="00096303">
      <w:pPr>
        <w:spacing w:line="240" w:lineRule="auto"/>
      </w:pPr>
      <w:r>
        <w:t>2.</w:t>
      </w:r>
      <w:r>
        <w:tab/>
        <w:t>Создание и внедрение алгоритмов машинного обучения для точного прогнозирования ресурса оборудования и адаптивной оптимизации режимов работы.</w:t>
      </w:r>
    </w:p>
    <w:p w:rsidR="00455592" w:rsidRDefault="00455592" w:rsidP="00096303">
      <w:pPr>
        <w:spacing w:line="240" w:lineRule="auto"/>
      </w:pPr>
      <w:r>
        <w:t>3.</w:t>
      </w:r>
      <w:r>
        <w:tab/>
        <w:t xml:space="preserve">Разработка специализированных систем </w:t>
      </w:r>
      <w:proofErr w:type="spellStart"/>
      <w:r>
        <w:t>кибербезопасности</w:t>
      </w:r>
      <w:proofErr w:type="spellEnd"/>
      <w:r>
        <w:t xml:space="preserve"> нового поколения для распределенных судовых архитектур.</w:t>
      </w:r>
    </w:p>
    <w:p w:rsidR="00455592" w:rsidRDefault="00455592" w:rsidP="00096303">
      <w:pPr>
        <w:spacing w:line="240" w:lineRule="auto"/>
      </w:pPr>
      <w:r>
        <w:t>4.</w:t>
      </w:r>
      <w:r>
        <w:tab/>
        <w:t>Формирование полного отечественного технологического цикла производства высоконадежных компонентов КСУ ТС морского исполнения.</w:t>
      </w:r>
    </w:p>
    <w:p w:rsidR="00455592" w:rsidRDefault="00455592" w:rsidP="00096303">
      <w:pPr>
        <w:spacing w:line="240" w:lineRule="auto"/>
      </w:pPr>
      <w:r>
        <w:t>5.</w:t>
      </w:r>
      <w:r>
        <w:tab/>
        <w:t>Создание методик и тренажерных комплексов для подготовки операторов береговых центров управления автономным флотом.</w:t>
      </w:r>
    </w:p>
    <w:p w:rsidR="00455592" w:rsidRDefault="00455592" w:rsidP="00096303">
      <w:pPr>
        <w:spacing w:line="240" w:lineRule="auto"/>
      </w:pPr>
      <w:r>
        <w:t>Таким образом, КСУ ТС перестает быть просто одной из бортовых систем, становясь стратегическим активом и основой для технологического лидерства в ходе цифровой трансформации судостроения.</w:t>
      </w:r>
    </w:p>
    <w:p w:rsidR="00470D19" w:rsidRDefault="00470D19" w:rsidP="00455592"/>
    <w:p w:rsidR="00470D19" w:rsidRDefault="00470D19" w:rsidP="00455592"/>
    <w:p w:rsidR="00470D19" w:rsidRDefault="00470D19" w:rsidP="00455592"/>
    <w:p w:rsidR="00470D19" w:rsidRDefault="00470D19" w:rsidP="00455592"/>
    <w:p w:rsidR="00470D19" w:rsidRDefault="00470D19" w:rsidP="00455592"/>
    <w:p w:rsidR="00470D19" w:rsidRDefault="00470D19" w:rsidP="00455592"/>
    <w:p w:rsidR="00470D19" w:rsidRDefault="00470D19" w:rsidP="00455592"/>
    <w:p w:rsidR="00470D19" w:rsidRDefault="00470D19" w:rsidP="00455592"/>
    <w:p w:rsidR="00096303" w:rsidRDefault="00096303" w:rsidP="00455592"/>
    <w:p w:rsidR="00096303" w:rsidRDefault="00096303" w:rsidP="00455592"/>
    <w:p w:rsidR="00096303" w:rsidRDefault="00096303" w:rsidP="00455592">
      <w:bookmarkStart w:id="0" w:name="_GoBack"/>
      <w:bookmarkEnd w:id="0"/>
    </w:p>
    <w:p w:rsidR="00096303" w:rsidRDefault="00096303" w:rsidP="00455592"/>
    <w:p w:rsidR="00096303" w:rsidRDefault="00096303" w:rsidP="00455592"/>
    <w:p w:rsidR="00096303" w:rsidRDefault="00096303" w:rsidP="00455592"/>
    <w:p w:rsidR="00096303" w:rsidRDefault="00096303" w:rsidP="00455592"/>
    <w:p w:rsidR="00096303" w:rsidRDefault="00096303" w:rsidP="00455592"/>
    <w:p w:rsidR="00096303" w:rsidRDefault="00096303" w:rsidP="00455592"/>
    <w:p w:rsidR="00455592" w:rsidRDefault="00455592" w:rsidP="00096303">
      <w:pPr>
        <w:spacing w:line="240" w:lineRule="auto"/>
      </w:pPr>
      <w:r>
        <w:t>УДК: 629.5.05:004.4</w:t>
      </w:r>
    </w:p>
    <w:p w:rsidR="00455592" w:rsidRDefault="00455592" w:rsidP="00096303">
      <w:pPr>
        <w:spacing w:line="240" w:lineRule="auto"/>
      </w:pPr>
      <w:r>
        <w:t>Ключевые слова: комплексная система управления техническими средствами (КСУ ТС), цифровой корабль, автономное судовождение (MASS), прогнозная аналитика, отказоустойчивая архитектура, живучесть</w:t>
      </w:r>
    </w:p>
    <w:p w:rsidR="00455592" w:rsidRDefault="00455592" w:rsidP="00096303">
      <w:pPr>
        <w:spacing w:line="240" w:lineRule="auto"/>
      </w:pPr>
      <w:r>
        <w:t>Реферат рус: С.Н. Юдин. Эволюция комплексных систем управления техническими средствами как основа цифровой трансформации в судостроении.</w:t>
      </w:r>
    </w:p>
    <w:p w:rsidR="00455592" w:rsidRDefault="00455592" w:rsidP="00096303">
      <w:pPr>
        <w:spacing w:line="240" w:lineRule="auto"/>
      </w:pPr>
      <w:r>
        <w:t xml:space="preserve">В статье рассмотрена эволюция и ключевые векторы развития комплексных систем управления техническими средствами (КСУ ТС) судна. Проанализирована роль КСУ ТС как центрального элемента цифрового судна и технологического фундамента для автономного судовождения. Сформулированы перспективные научно-технические задачи для отрасли. </w:t>
      </w:r>
      <w:proofErr w:type="spellStart"/>
      <w:r>
        <w:t>Библиогр</w:t>
      </w:r>
      <w:proofErr w:type="spellEnd"/>
      <w:r>
        <w:t>. 0 назв.</w:t>
      </w:r>
    </w:p>
    <w:p w:rsidR="00455592" w:rsidRPr="009A33C5" w:rsidRDefault="00455592" w:rsidP="00096303">
      <w:pPr>
        <w:spacing w:line="240" w:lineRule="auto"/>
        <w:rPr>
          <w:lang w:val="en-US"/>
        </w:rPr>
      </w:pPr>
      <w:r w:rsidRPr="00550909">
        <w:t>Р</w:t>
      </w:r>
      <w:r>
        <w:t>еферат</w:t>
      </w:r>
      <w:r w:rsidRPr="00455592">
        <w:t xml:space="preserve"> </w:t>
      </w:r>
      <w:r>
        <w:t>англ</w:t>
      </w:r>
      <w:r w:rsidRPr="00455592">
        <w:t xml:space="preserve">.: </w:t>
      </w:r>
      <w:r>
        <w:rPr>
          <w:lang w:val="es-ES"/>
        </w:rPr>
        <w:t>S</w:t>
      </w:r>
      <w:r w:rsidRPr="00455592">
        <w:t xml:space="preserve">. </w:t>
      </w:r>
      <w:r>
        <w:rPr>
          <w:lang w:val="es-ES"/>
        </w:rPr>
        <w:t>N</w:t>
      </w:r>
      <w:r w:rsidRPr="00455592">
        <w:t xml:space="preserve">. </w:t>
      </w:r>
      <w:r>
        <w:rPr>
          <w:lang w:val="es-ES"/>
        </w:rPr>
        <w:t>Yudin</w:t>
      </w:r>
      <w:r>
        <w:t xml:space="preserve">. </w:t>
      </w:r>
      <w:proofErr w:type="gramStart"/>
      <w:r w:rsidRPr="009A33C5">
        <w:rPr>
          <w:lang w:val="en-US"/>
        </w:rPr>
        <w:t>The evolution of integrated technical control systems as the basis for digital transformation in shipbuilding.</w:t>
      </w:r>
      <w:proofErr w:type="gramEnd"/>
    </w:p>
    <w:p w:rsidR="00455592" w:rsidRDefault="00455592" w:rsidP="00096303">
      <w:pPr>
        <w:spacing w:line="240" w:lineRule="auto"/>
      </w:pPr>
      <w:r w:rsidRPr="009A33C5">
        <w:rPr>
          <w:lang w:val="en-US"/>
        </w:rPr>
        <w:t xml:space="preserve">The article considers the evolution and key development vectors of integrated technical control systems (ITCS) of a vessel. The role of ITCS as a central element of the digital ship and a technological foundation for autonomous navigation is analyzed. Promising scientific and technical tasks for the industry are formulated. </w:t>
      </w:r>
      <w:proofErr w:type="spellStart"/>
      <w:r>
        <w:t>Bibliogr</w:t>
      </w:r>
      <w:proofErr w:type="spellEnd"/>
      <w:r>
        <w:t xml:space="preserve">. 0 </w:t>
      </w:r>
      <w:proofErr w:type="spellStart"/>
      <w:r>
        <w:t>titles</w:t>
      </w:r>
      <w:proofErr w:type="spellEnd"/>
      <w:r>
        <w:t>.</w:t>
      </w:r>
    </w:p>
    <w:p w:rsidR="00F51A96" w:rsidRPr="00140F3B" w:rsidRDefault="00F51A96" w:rsidP="00096303">
      <w:pPr>
        <w:spacing w:line="240" w:lineRule="auto"/>
        <w:jc w:val="center"/>
      </w:pPr>
    </w:p>
    <w:sectPr w:rsidR="00F51A96" w:rsidRPr="00140F3B" w:rsidSect="0076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2472"/>
    <w:multiLevelType w:val="hybridMultilevel"/>
    <w:tmpl w:val="EA72C0E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904E49"/>
    <w:multiLevelType w:val="hybridMultilevel"/>
    <w:tmpl w:val="628604BE"/>
    <w:lvl w:ilvl="0" w:tplc="86005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8C05EF"/>
    <w:multiLevelType w:val="hybridMultilevel"/>
    <w:tmpl w:val="A83EBDF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1A5783"/>
    <w:multiLevelType w:val="hybridMultilevel"/>
    <w:tmpl w:val="F7003BF4"/>
    <w:lvl w:ilvl="0" w:tplc="4D0E6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D82DB5"/>
    <w:multiLevelType w:val="hybridMultilevel"/>
    <w:tmpl w:val="3DF2D8C4"/>
    <w:lvl w:ilvl="0" w:tplc="FBF0C95A">
      <w:numFmt w:val="bullet"/>
      <w:lvlText w:val=""/>
      <w:lvlJc w:val="left"/>
      <w:pPr>
        <w:ind w:left="2119" w:hanging="141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2A77563"/>
    <w:multiLevelType w:val="hybridMultilevel"/>
    <w:tmpl w:val="4484FAD0"/>
    <w:lvl w:ilvl="0" w:tplc="0CBCF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B6770F6"/>
    <w:multiLevelType w:val="hybridMultilevel"/>
    <w:tmpl w:val="30164A4E"/>
    <w:lvl w:ilvl="0" w:tplc="EA6841C4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3A"/>
    <w:rsid w:val="00085C45"/>
    <w:rsid w:val="00096303"/>
    <w:rsid w:val="00096AC7"/>
    <w:rsid w:val="000F4A88"/>
    <w:rsid w:val="00140F3B"/>
    <w:rsid w:val="00214DF1"/>
    <w:rsid w:val="002D0D14"/>
    <w:rsid w:val="003639E2"/>
    <w:rsid w:val="003B48D2"/>
    <w:rsid w:val="004372C1"/>
    <w:rsid w:val="00455592"/>
    <w:rsid w:val="00470D19"/>
    <w:rsid w:val="004C110D"/>
    <w:rsid w:val="004D31A8"/>
    <w:rsid w:val="004E12C9"/>
    <w:rsid w:val="00550909"/>
    <w:rsid w:val="0059279F"/>
    <w:rsid w:val="006C131A"/>
    <w:rsid w:val="00712859"/>
    <w:rsid w:val="00737A53"/>
    <w:rsid w:val="00763520"/>
    <w:rsid w:val="007815C9"/>
    <w:rsid w:val="007C4376"/>
    <w:rsid w:val="007D5D2E"/>
    <w:rsid w:val="008F5756"/>
    <w:rsid w:val="0094793C"/>
    <w:rsid w:val="009A33C5"/>
    <w:rsid w:val="009D2AA4"/>
    <w:rsid w:val="00A013D5"/>
    <w:rsid w:val="00A73CD8"/>
    <w:rsid w:val="00AF7360"/>
    <w:rsid w:val="00B07B57"/>
    <w:rsid w:val="00B20A2B"/>
    <w:rsid w:val="00B40E12"/>
    <w:rsid w:val="00BD19C8"/>
    <w:rsid w:val="00C2441A"/>
    <w:rsid w:val="00CE1000"/>
    <w:rsid w:val="00D143F8"/>
    <w:rsid w:val="00D44487"/>
    <w:rsid w:val="00D527A6"/>
    <w:rsid w:val="00D53B3F"/>
    <w:rsid w:val="00DB71DF"/>
    <w:rsid w:val="00E605C7"/>
    <w:rsid w:val="00E6780E"/>
    <w:rsid w:val="00EB1AFB"/>
    <w:rsid w:val="00EB2A8C"/>
    <w:rsid w:val="00ED54A7"/>
    <w:rsid w:val="00EF3D0D"/>
    <w:rsid w:val="00F12293"/>
    <w:rsid w:val="00F37F34"/>
    <w:rsid w:val="00F51A96"/>
    <w:rsid w:val="00F75209"/>
    <w:rsid w:val="00F8093A"/>
    <w:rsid w:val="00FB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92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73CD8"/>
    <w:pPr>
      <w:keepNext/>
      <w:keepLines/>
      <w:outlineLvl w:val="0"/>
    </w:pPr>
    <w:rPr>
      <w:rFonts w:eastAsiaTheme="majorEastAsia"/>
      <w:b/>
      <w:bCs/>
      <w:color w:val="000000" w:themeColor="text1"/>
    </w:rPr>
  </w:style>
  <w:style w:type="paragraph" w:styleId="2">
    <w:name w:val="heading 2"/>
    <w:basedOn w:val="a"/>
    <w:next w:val="a"/>
    <w:link w:val="20"/>
    <w:uiPriority w:val="9"/>
    <w:unhideWhenUsed/>
    <w:qFormat/>
    <w:rsid w:val="00A73CD8"/>
    <w:pPr>
      <w:keepNext/>
      <w:keepLines/>
      <w:numPr>
        <w:numId w:val="1"/>
      </w:numPr>
      <w:outlineLvl w:val="1"/>
    </w:pPr>
    <w:rPr>
      <w:rFonts w:eastAsiaTheme="majorEastAsia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CD8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3CD8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947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2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92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73CD8"/>
    <w:pPr>
      <w:keepNext/>
      <w:keepLines/>
      <w:outlineLvl w:val="0"/>
    </w:pPr>
    <w:rPr>
      <w:rFonts w:eastAsiaTheme="majorEastAsia"/>
      <w:b/>
      <w:bCs/>
      <w:color w:val="000000" w:themeColor="text1"/>
    </w:rPr>
  </w:style>
  <w:style w:type="paragraph" w:styleId="2">
    <w:name w:val="heading 2"/>
    <w:basedOn w:val="a"/>
    <w:next w:val="a"/>
    <w:link w:val="20"/>
    <w:uiPriority w:val="9"/>
    <w:unhideWhenUsed/>
    <w:qFormat/>
    <w:rsid w:val="00A73CD8"/>
    <w:pPr>
      <w:keepNext/>
      <w:keepLines/>
      <w:numPr>
        <w:numId w:val="1"/>
      </w:numPr>
      <w:outlineLvl w:val="1"/>
    </w:pPr>
    <w:rPr>
      <w:rFonts w:eastAsiaTheme="majorEastAsia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CD8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3CD8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947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2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Мосичкин</dc:creator>
  <cp:lastModifiedBy>Admin</cp:lastModifiedBy>
  <cp:revision>4</cp:revision>
  <cp:lastPrinted>2026-05-06T06:22:00Z</cp:lastPrinted>
  <dcterms:created xsi:type="dcterms:W3CDTF">2026-05-15T12:03:00Z</dcterms:created>
  <dcterms:modified xsi:type="dcterms:W3CDTF">2026-05-15T12:08:00Z</dcterms:modified>
</cp:coreProperties>
</file>